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13" w:rsidRDefault="003C7B13"/>
    <w:p w:rsidR="003C7B13" w:rsidRDefault="003C7B13"/>
    <w:p w:rsidR="00C20EF7" w:rsidRDefault="00A57363">
      <w:r>
        <w:rPr>
          <w:noProof/>
          <w:lang w:eastAsia="it-IT"/>
        </w:rPr>
        <mc:AlternateContent>
          <mc:Choice Requires="wps">
            <w:drawing>
              <wp:anchor distT="0" distB="0" distL="114300" distR="114300" simplePos="0" relativeHeight="251659264" behindDoc="0" locked="0" layoutInCell="1" allowOverlap="1" wp14:anchorId="61518B8C" wp14:editId="106366A9">
                <wp:simplePos x="0" y="0"/>
                <wp:positionH relativeFrom="column">
                  <wp:posOffset>1861185</wp:posOffset>
                </wp:positionH>
                <wp:positionV relativeFrom="paragraph">
                  <wp:posOffset>512445</wp:posOffset>
                </wp:positionV>
                <wp:extent cx="2781300" cy="28575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85750"/>
                        </a:xfrm>
                        <a:prstGeom prst="rect">
                          <a:avLst/>
                        </a:prstGeom>
                        <a:solidFill>
                          <a:srgbClr val="FFFFFF"/>
                        </a:solidFill>
                        <a:ln w="9525">
                          <a:noFill/>
                          <a:miter lim="800000"/>
                          <a:headEnd/>
                          <a:tailEnd/>
                        </a:ln>
                      </wps:spPr>
                      <wps:txbx>
                        <w:txbxContent>
                          <w:p w:rsidR="00C20EF7" w:rsidRPr="00A57363" w:rsidRDefault="00C20EF7" w:rsidP="00C20EF7">
                            <w:pPr>
                              <w:rPr>
                                <w:b/>
                                <w:color w:val="365F91" w:themeColor="accent1" w:themeShade="BF"/>
                                <w:sz w:val="20"/>
                                <w:szCs w:val="20"/>
                              </w:rPr>
                            </w:pPr>
                            <w:r w:rsidRPr="00A57363">
                              <w:rPr>
                                <w:b/>
                                <w:color w:val="365F91" w:themeColor="accent1" w:themeShade="BF"/>
                                <w:sz w:val="20"/>
                                <w:szCs w:val="20"/>
                              </w:rPr>
                              <w:t xml:space="preserve">Coordinamento </w:t>
                            </w:r>
                            <w:r w:rsidR="00723E3C">
                              <w:rPr>
                                <w:b/>
                                <w:color w:val="365F91" w:themeColor="accent1" w:themeShade="BF"/>
                                <w:sz w:val="20"/>
                                <w:szCs w:val="20"/>
                              </w:rPr>
                              <w:t>Provinciale</w:t>
                            </w:r>
                            <w:r w:rsidRPr="00A57363">
                              <w:rPr>
                                <w:b/>
                                <w:color w:val="365F91" w:themeColor="accent1" w:themeShade="BF"/>
                                <w:sz w:val="20"/>
                                <w:szCs w:val="20"/>
                              </w:rPr>
                              <w:t xml:space="preserve"> Agenzie Fiscali - </w:t>
                            </w:r>
                            <w:proofErr w:type="spellStart"/>
                            <w:r w:rsidRPr="00A57363">
                              <w:rPr>
                                <w:b/>
                                <w:color w:val="365F91" w:themeColor="accent1" w:themeShade="BF"/>
                                <w:sz w:val="20"/>
                                <w:szCs w:val="20"/>
                              </w:rPr>
                              <w:t>Salfi</w:t>
                            </w:r>
                            <w:proofErr w:type="spellEnd"/>
                          </w:p>
                          <w:p w:rsidR="00C20EF7" w:rsidRDefault="00C20E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46.55pt;margin-top:40.35pt;width:21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" stroked="f">
                <v:textbox>
                  <w:txbxContent>
                    <w:p w:rsidR="00C20EF7" w:rsidRPr="00A57363" w:rsidRDefault="00C20EF7" w:rsidP="00C20EF7">
                      <w:pPr>
                        <w:rPr>
                          <w:b/>
                          <w:color w:val="365F91" w:themeColor="accent1" w:themeShade="BF"/>
                          <w:sz w:val="20"/>
                          <w:szCs w:val="20"/>
                        </w:rPr>
                      </w:pPr>
                      <w:r w:rsidRPr="00A57363">
                        <w:rPr>
                          <w:b/>
                          <w:color w:val="365F91" w:themeColor="accent1" w:themeShade="BF"/>
                          <w:sz w:val="20"/>
                          <w:szCs w:val="20"/>
                        </w:rPr>
                        <w:t xml:space="preserve">Coordinamento </w:t>
                      </w:r>
                      <w:r w:rsidR="00723E3C">
                        <w:rPr>
                          <w:b/>
                          <w:color w:val="365F91" w:themeColor="accent1" w:themeShade="BF"/>
                          <w:sz w:val="20"/>
                          <w:szCs w:val="20"/>
                        </w:rPr>
                        <w:t>Provinciale</w:t>
                      </w:r>
                      <w:r w:rsidRPr="00A57363">
                        <w:rPr>
                          <w:b/>
                          <w:color w:val="365F91" w:themeColor="accent1" w:themeShade="BF"/>
                          <w:sz w:val="20"/>
                          <w:szCs w:val="20"/>
                        </w:rPr>
                        <w:t xml:space="preserve"> Agenzie Fiscali - </w:t>
                      </w:r>
                      <w:proofErr w:type="spellStart"/>
                      <w:r w:rsidRPr="00A57363">
                        <w:rPr>
                          <w:b/>
                          <w:color w:val="365F91" w:themeColor="accent1" w:themeShade="BF"/>
                          <w:sz w:val="20"/>
                          <w:szCs w:val="20"/>
                        </w:rPr>
                        <w:t>Salfi</w:t>
                      </w:r>
                      <w:proofErr w:type="spellEnd"/>
                    </w:p>
                    <w:p w:rsidR="00C20EF7" w:rsidRDefault="00C20EF7"/>
                  </w:txbxContent>
                </v:textbox>
              </v:shape>
            </w:pict>
          </mc:Fallback>
        </mc:AlternateContent>
      </w:r>
      <w:r w:rsidR="00C20EF7">
        <w:rPr>
          <w:noProof/>
          <w:lang w:eastAsia="it-IT"/>
        </w:rPr>
        <w:drawing>
          <wp:inline distT="0" distB="0" distL="0" distR="0" wp14:anchorId="75D272CC" wp14:editId="258B0528">
            <wp:extent cx="6115050" cy="1714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714500"/>
                    </a:xfrm>
                    <a:prstGeom prst="rect">
                      <a:avLst/>
                    </a:prstGeom>
                    <a:noFill/>
                    <a:ln>
                      <a:noFill/>
                    </a:ln>
                  </pic:spPr>
                </pic:pic>
              </a:graphicData>
            </a:graphic>
          </wp:inline>
        </w:drawing>
      </w:r>
    </w:p>
    <w:p w:rsidR="00FF53E9" w:rsidRDefault="00FF53E9" w:rsidP="00FF53E9">
      <w:pPr>
        <w:jc w:val="center"/>
        <w:rPr>
          <w:b/>
          <w:sz w:val="28"/>
          <w:szCs w:val="28"/>
        </w:rPr>
      </w:pPr>
      <w:r w:rsidRPr="000349A8">
        <w:rPr>
          <w:b/>
          <w:sz w:val="28"/>
          <w:szCs w:val="28"/>
        </w:rPr>
        <w:t xml:space="preserve">PRIVACY – CERTIFICATI </w:t>
      </w:r>
      <w:r>
        <w:rPr>
          <w:b/>
          <w:sz w:val="28"/>
          <w:szCs w:val="28"/>
        </w:rPr>
        <w:t>–</w:t>
      </w:r>
      <w:r w:rsidRPr="000349A8">
        <w:rPr>
          <w:b/>
          <w:sz w:val="28"/>
          <w:szCs w:val="28"/>
        </w:rPr>
        <w:t xml:space="preserve"> PROTOCOLLO</w:t>
      </w:r>
      <w:r>
        <w:rPr>
          <w:b/>
          <w:sz w:val="28"/>
          <w:szCs w:val="28"/>
        </w:rPr>
        <w:t xml:space="preserve"> </w:t>
      </w:r>
    </w:p>
    <w:p w:rsidR="00FF53E9" w:rsidRDefault="00FF53E9" w:rsidP="00FF53E9">
      <w:pPr>
        <w:jc w:val="both"/>
        <w:rPr>
          <w:sz w:val="24"/>
          <w:szCs w:val="24"/>
        </w:rPr>
      </w:pPr>
      <w:r>
        <w:rPr>
          <w:sz w:val="24"/>
          <w:szCs w:val="24"/>
        </w:rPr>
        <w:t xml:space="preserve">Corre l’obbligo, per questa OS, di segnalare a tutto il personale della DP 1 di Roma, il più che probabile “vulnus” alla Privacy causato dall’applicazione del punto </w:t>
      </w:r>
      <w:r w:rsidRPr="000349A8">
        <w:t xml:space="preserve">5, 5.1: </w:t>
      </w:r>
      <w:r w:rsidRPr="000349A8">
        <w:rPr>
          <w:sz w:val="24"/>
          <w:szCs w:val="24"/>
        </w:rPr>
        <w:t>Flussi documentali in ingresso</w:t>
      </w:r>
      <w:r>
        <w:rPr>
          <w:sz w:val="24"/>
          <w:szCs w:val="24"/>
        </w:rPr>
        <w:t>,</w:t>
      </w:r>
      <w:r w:rsidRPr="000349A8">
        <w:rPr>
          <w:sz w:val="24"/>
          <w:szCs w:val="24"/>
        </w:rPr>
        <w:t xml:space="preserve"> di cui al “Manuale di gestione documentale per l’Area Organizzativa Omogenea”- Disposizione di Servizio n. 78 del 12 dicembre 2017- DP I di Roma.</w:t>
      </w:r>
    </w:p>
    <w:p w:rsidR="00FF53E9" w:rsidRDefault="00FF53E9" w:rsidP="00FF53E9">
      <w:pPr>
        <w:jc w:val="both"/>
        <w:rPr>
          <w:sz w:val="24"/>
          <w:szCs w:val="24"/>
        </w:rPr>
      </w:pPr>
      <w:r>
        <w:rPr>
          <w:sz w:val="24"/>
          <w:szCs w:val="24"/>
        </w:rPr>
        <w:t>Prima di addentrarci nel tema oggetto del presente comunicato, consentiteci una breve parentesi. Già in occasione della riunione del 19/12/2017, tenutasi presso questa DP con le organizzazioni sindacali, questa OS ha stigmatizzato con Nota  a Verbale il succitato Manuale di gestione documentale per l’Area Organizzativa Omogenea. E, nello specifico,  proprio il punto 5, 5.1: Flussi documentali in ingresso. Nella Nota si evidenziava, tra l’altro, l’irritualità delle indicazioni contenute nel Manuale, soprattutto, riguardo la modalità indicata per la protocollazione dei “flussi documentali in entrata”. Laddove è indicato, quale “Unità Organizzativa di Protocollo”, “… ciascun dipendente”.</w:t>
      </w:r>
    </w:p>
    <w:p w:rsidR="00FF53E9" w:rsidRDefault="00FF53E9" w:rsidP="00FF53E9">
      <w:pPr>
        <w:jc w:val="both"/>
        <w:rPr>
          <w:sz w:val="24"/>
          <w:szCs w:val="24"/>
        </w:rPr>
      </w:pPr>
      <w:r>
        <w:rPr>
          <w:sz w:val="24"/>
          <w:szCs w:val="24"/>
        </w:rPr>
        <w:t>Noi abbiamo sollevato obiezioni in merito a questo punto, ma anche in ordine al fatto che si sia usato il Manuale per disporre di attività interne alla DP, in luogo di più opportuni -così come previsto dalla norma- Ordini di Servizio. L’inserimento nel Manuale, infatti, comporta la indefinibilità temporale delle attività così come organizzate  e previste al suo interno.</w:t>
      </w:r>
    </w:p>
    <w:p w:rsidR="00FF53E9" w:rsidRDefault="00FF53E9" w:rsidP="00FF53E9">
      <w:pPr>
        <w:jc w:val="both"/>
        <w:rPr>
          <w:sz w:val="24"/>
          <w:szCs w:val="24"/>
        </w:rPr>
      </w:pPr>
      <w:r>
        <w:rPr>
          <w:sz w:val="24"/>
          <w:szCs w:val="24"/>
        </w:rPr>
        <w:t>Tornando al tema del Comunicato, ebbene i punti da noi evidenziati come irrituali, carenti o contrari alla norma, hanno prodotto un risultato a dir poco sconcertante.</w:t>
      </w:r>
    </w:p>
    <w:p w:rsidR="00FF53E9" w:rsidRDefault="00FF53E9" w:rsidP="00FF53E9">
      <w:pPr>
        <w:jc w:val="both"/>
        <w:rPr>
          <w:sz w:val="24"/>
          <w:szCs w:val="24"/>
        </w:rPr>
      </w:pPr>
      <w:r>
        <w:rPr>
          <w:sz w:val="24"/>
          <w:szCs w:val="24"/>
        </w:rPr>
        <w:t>La scansione dei certificati o dei documenti diversi da quelli telematici, allegati al Protocollo, Registro Interno, modalità prevista dal Manuale come propria di “ciascun dipendente” al fine di giustificare tutte quelle tipologie di assenze diverse dalla malattia, o da quelle inseribili in self-service, comporta il rischio concreto di violazione della privacy.</w:t>
      </w:r>
    </w:p>
    <w:p w:rsidR="00FF53E9" w:rsidRDefault="00FF53E9" w:rsidP="00FF53E9">
      <w:pPr>
        <w:jc w:val="both"/>
        <w:rPr>
          <w:sz w:val="24"/>
          <w:szCs w:val="24"/>
        </w:rPr>
      </w:pPr>
      <w:r>
        <w:rPr>
          <w:sz w:val="24"/>
          <w:szCs w:val="24"/>
        </w:rPr>
        <w:t xml:space="preserve">E questo perché, non essendo il Registro Interno provvisto del </w:t>
      </w:r>
      <w:proofErr w:type="spellStart"/>
      <w:r>
        <w:rPr>
          <w:sz w:val="24"/>
          <w:szCs w:val="24"/>
        </w:rPr>
        <w:t>flag</w:t>
      </w:r>
      <w:proofErr w:type="spellEnd"/>
      <w:r>
        <w:rPr>
          <w:sz w:val="24"/>
          <w:szCs w:val="24"/>
        </w:rPr>
        <w:t xml:space="preserve"> “documenti sensibili”, espone alla lettura di chicchessia degli allegati certificati o documenti sensibili, che invece è lecito aspettarsi siano trattati con il dovuto riguardo e rispetto.</w:t>
      </w:r>
    </w:p>
    <w:p w:rsidR="00FF53E9" w:rsidRPr="008762DB" w:rsidRDefault="00FF53E9" w:rsidP="00FF53E9">
      <w:pPr>
        <w:jc w:val="both"/>
        <w:rPr>
          <w:b/>
          <w:sz w:val="24"/>
          <w:szCs w:val="24"/>
        </w:rPr>
      </w:pPr>
      <w:r w:rsidRPr="008762DB">
        <w:rPr>
          <w:b/>
          <w:sz w:val="24"/>
          <w:szCs w:val="24"/>
        </w:rPr>
        <w:lastRenderedPageBreak/>
        <w:t>In ordine al problema, ricordiamo che la violazione della privacy può essere oggetto di sanzione amministrativa ma anche, nei casi più gravi, di sanzione penale.</w:t>
      </w:r>
    </w:p>
    <w:p w:rsidR="00FF53E9" w:rsidRDefault="00FF53E9" w:rsidP="00FF53E9">
      <w:pPr>
        <w:jc w:val="both"/>
        <w:rPr>
          <w:sz w:val="24"/>
          <w:szCs w:val="24"/>
        </w:rPr>
      </w:pPr>
      <w:r>
        <w:rPr>
          <w:sz w:val="24"/>
          <w:szCs w:val="24"/>
        </w:rPr>
        <w:t>Ad ogni buon conto, in attesa che il problema del “</w:t>
      </w:r>
      <w:proofErr w:type="spellStart"/>
      <w:r>
        <w:rPr>
          <w:sz w:val="24"/>
          <w:szCs w:val="24"/>
        </w:rPr>
        <w:t>flag</w:t>
      </w:r>
      <w:proofErr w:type="spellEnd"/>
      <w:r>
        <w:rPr>
          <w:sz w:val="24"/>
          <w:szCs w:val="24"/>
        </w:rPr>
        <w:t>” mancante sia risolto, invitiamo tutti i colleghi a protocollare i propri certificati o documenti non telematici, sul Registro Ufficiale. Là, infatti, è presente il famigerato “</w:t>
      </w:r>
      <w:proofErr w:type="spellStart"/>
      <w:r>
        <w:rPr>
          <w:sz w:val="24"/>
          <w:szCs w:val="24"/>
        </w:rPr>
        <w:t>flag</w:t>
      </w:r>
      <w:proofErr w:type="spellEnd"/>
      <w:r>
        <w:rPr>
          <w:sz w:val="24"/>
          <w:szCs w:val="24"/>
        </w:rPr>
        <w:t>” dei dati sensibili.</w:t>
      </w:r>
    </w:p>
    <w:p w:rsidR="00FF53E9" w:rsidRDefault="00FF53E9" w:rsidP="00FF53E9">
      <w:pPr>
        <w:jc w:val="both"/>
        <w:rPr>
          <w:sz w:val="24"/>
          <w:szCs w:val="24"/>
        </w:rPr>
      </w:pPr>
      <w:r>
        <w:rPr>
          <w:sz w:val="24"/>
          <w:szCs w:val="24"/>
        </w:rPr>
        <w:t>In alternativa, vi invitiamo a produrre la documentazione cartacea affinché sia protocollata, come un tempo, dal personale dell’Area Gestione Risorse.</w:t>
      </w:r>
    </w:p>
    <w:p w:rsidR="00FF53E9" w:rsidRDefault="00FF53E9" w:rsidP="00FF53E9">
      <w:pPr>
        <w:jc w:val="both"/>
        <w:rPr>
          <w:sz w:val="24"/>
          <w:szCs w:val="24"/>
        </w:rPr>
      </w:pPr>
    </w:p>
    <w:p w:rsidR="00FF53E9" w:rsidRPr="000349A8" w:rsidRDefault="00FF53E9" w:rsidP="00FF53E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w:t>
      </w:r>
      <w:r w:rsidR="00AD5FCD">
        <w:rPr>
          <w:sz w:val="24"/>
          <w:szCs w:val="24"/>
        </w:rPr>
        <w:t>greteria Provinciale</w:t>
      </w:r>
      <w:r>
        <w:rPr>
          <w:sz w:val="24"/>
          <w:szCs w:val="24"/>
        </w:rPr>
        <w:t xml:space="preserve"> </w:t>
      </w:r>
      <w:proofErr w:type="spellStart"/>
      <w:r>
        <w:rPr>
          <w:sz w:val="24"/>
          <w:szCs w:val="24"/>
        </w:rPr>
        <w:t>Unsa-SAlfi</w:t>
      </w:r>
      <w:proofErr w:type="spellEnd"/>
      <w:r>
        <w:rPr>
          <w:sz w:val="24"/>
          <w:szCs w:val="24"/>
        </w:rPr>
        <w:t xml:space="preserve"> </w:t>
      </w:r>
      <w:r w:rsidR="00AD5FCD">
        <w:rPr>
          <w:sz w:val="24"/>
          <w:szCs w:val="24"/>
        </w:rPr>
        <w:t>-</w:t>
      </w:r>
      <w:r>
        <w:rPr>
          <w:sz w:val="24"/>
          <w:szCs w:val="24"/>
        </w:rPr>
        <w:t xml:space="preserve"> Roma</w:t>
      </w:r>
      <w:r>
        <w:rPr>
          <w:sz w:val="24"/>
          <w:szCs w:val="24"/>
        </w:rPr>
        <w:tab/>
      </w:r>
    </w:p>
    <w:p w:rsidR="00FF53E9" w:rsidRDefault="00FF53E9" w:rsidP="003C7B13">
      <w:pPr>
        <w:jc w:val="center"/>
        <w:rPr>
          <w:sz w:val="28"/>
          <w:szCs w:val="28"/>
        </w:rPr>
      </w:pPr>
    </w:p>
    <w:p w:rsidR="00FF53E9" w:rsidRDefault="00FF53E9" w:rsidP="003C7B13">
      <w:pPr>
        <w:jc w:val="center"/>
        <w:rPr>
          <w:sz w:val="28"/>
          <w:szCs w:val="28"/>
        </w:rPr>
      </w:pPr>
    </w:p>
    <w:p w:rsidR="00FF53E9" w:rsidRDefault="00FF53E9" w:rsidP="003C7B13">
      <w:pPr>
        <w:jc w:val="center"/>
        <w:rPr>
          <w:sz w:val="28"/>
          <w:szCs w:val="28"/>
        </w:rPr>
      </w:pPr>
    </w:p>
    <w:p w:rsidR="00FF53E9" w:rsidRDefault="00FF53E9" w:rsidP="003C7B13">
      <w:pPr>
        <w:jc w:val="center"/>
        <w:rPr>
          <w:sz w:val="28"/>
          <w:szCs w:val="28"/>
        </w:rPr>
      </w:pPr>
      <w:bookmarkStart w:id="0" w:name="_GoBack"/>
      <w:bookmarkEnd w:id="0"/>
    </w:p>
    <w:sectPr w:rsidR="00FF53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B17"/>
    <w:multiLevelType w:val="hybridMultilevel"/>
    <w:tmpl w:val="DAD60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F7"/>
    <w:rsid w:val="000909F8"/>
    <w:rsid w:val="001543D8"/>
    <w:rsid w:val="003C7B13"/>
    <w:rsid w:val="00485AB5"/>
    <w:rsid w:val="005963ED"/>
    <w:rsid w:val="005B035A"/>
    <w:rsid w:val="0063463E"/>
    <w:rsid w:val="00723E3C"/>
    <w:rsid w:val="007B2362"/>
    <w:rsid w:val="007B43F4"/>
    <w:rsid w:val="007F1930"/>
    <w:rsid w:val="00A57363"/>
    <w:rsid w:val="00AD5FCD"/>
    <w:rsid w:val="00BE6B1E"/>
    <w:rsid w:val="00C20EF7"/>
    <w:rsid w:val="00EE376E"/>
    <w:rsid w:val="00EF7408"/>
    <w:rsid w:val="00FF5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0E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0E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0EF7"/>
    <w:rPr>
      <w:rFonts w:ascii="Tahoma" w:hAnsi="Tahoma" w:cs="Tahoma"/>
      <w:sz w:val="16"/>
      <w:szCs w:val="16"/>
    </w:rPr>
  </w:style>
  <w:style w:type="character" w:styleId="Enfasidelicata">
    <w:name w:val="Subtle Emphasis"/>
    <w:basedOn w:val="Carpredefinitoparagrafo"/>
    <w:uiPriority w:val="19"/>
    <w:qFormat/>
    <w:rsid w:val="00C20EF7"/>
    <w:rPr>
      <w:i/>
      <w:iCs/>
      <w:color w:val="808080" w:themeColor="text1" w:themeTint="7F"/>
    </w:rPr>
  </w:style>
  <w:style w:type="paragraph" w:styleId="Paragrafoelenco">
    <w:name w:val="List Paragraph"/>
    <w:basedOn w:val="Normale"/>
    <w:uiPriority w:val="34"/>
    <w:qFormat/>
    <w:rsid w:val="007B2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0E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0E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0EF7"/>
    <w:rPr>
      <w:rFonts w:ascii="Tahoma" w:hAnsi="Tahoma" w:cs="Tahoma"/>
      <w:sz w:val="16"/>
      <w:szCs w:val="16"/>
    </w:rPr>
  </w:style>
  <w:style w:type="character" w:styleId="Enfasidelicata">
    <w:name w:val="Subtle Emphasis"/>
    <w:basedOn w:val="Carpredefinitoparagrafo"/>
    <w:uiPriority w:val="19"/>
    <w:qFormat/>
    <w:rsid w:val="00C20EF7"/>
    <w:rPr>
      <w:i/>
      <w:iCs/>
      <w:color w:val="808080" w:themeColor="text1" w:themeTint="7F"/>
    </w:rPr>
  </w:style>
  <w:style w:type="paragraph" w:styleId="Paragrafoelenco">
    <w:name w:val="List Paragraph"/>
    <w:basedOn w:val="Normale"/>
    <w:uiPriority w:val="34"/>
    <w:qFormat/>
    <w:rsid w:val="007B2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Dipartimento Finanze</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delle Entrate"</dc:creator>
  <cp:lastModifiedBy>DELLA GIOVAMPAOLA LUCIA</cp:lastModifiedBy>
  <cp:revision>3</cp:revision>
  <dcterms:created xsi:type="dcterms:W3CDTF">2018-02-22T14:45:00Z</dcterms:created>
  <dcterms:modified xsi:type="dcterms:W3CDTF">2018-02-22T14:55:00Z</dcterms:modified>
</cp:coreProperties>
</file>